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86" w:rsidRPr="00B95886" w:rsidRDefault="00B95886" w:rsidP="00B95886"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</w:pPr>
      <w:r w:rsidRPr="00B95886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化学工程学院关于2019年推荐优秀应届本科毕业生免试攻读研究生的实施办法</w:t>
      </w:r>
    </w:p>
    <w:p w:rsidR="00B95886" w:rsidRPr="00B95886" w:rsidRDefault="00B95886" w:rsidP="00B95886">
      <w:pPr>
        <w:widowControl/>
        <w:shd w:val="clear" w:color="auto" w:fill="FFFFFF"/>
        <w:jc w:val="center"/>
        <w:rPr>
          <w:rFonts w:ascii="Arial" w:eastAsia="宋体" w:hAnsi="Arial" w:cs="Arial" w:hint="eastAsia"/>
          <w:color w:val="333333"/>
          <w:kern w:val="0"/>
          <w:sz w:val="20"/>
          <w:szCs w:val="20"/>
        </w:rPr>
      </w:pPr>
      <w:r w:rsidRPr="00B95886">
        <w:rPr>
          <w:rFonts w:ascii="Arial" w:eastAsia="宋体" w:hAnsi="Arial" w:cs="Arial"/>
          <w:color w:val="787878"/>
          <w:kern w:val="0"/>
          <w:sz w:val="18"/>
          <w:szCs w:val="18"/>
        </w:rPr>
        <w:t>发布时间：</w:t>
      </w:r>
      <w:r w:rsidRPr="00B95886">
        <w:rPr>
          <w:rFonts w:ascii="Arial" w:eastAsia="宋体" w:hAnsi="Arial" w:cs="Arial"/>
          <w:color w:val="787878"/>
          <w:kern w:val="0"/>
          <w:sz w:val="18"/>
          <w:szCs w:val="18"/>
        </w:rPr>
        <w:t>2018-09-13</w:t>
      </w:r>
      <w:r w:rsidRPr="00B95886">
        <w:rPr>
          <w:rFonts w:ascii="Arial" w:eastAsia="宋体" w:hAnsi="Arial" w:cs="Arial"/>
          <w:color w:val="787878"/>
          <w:kern w:val="0"/>
          <w:sz w:val="18"/>
          <w:szCs w:val="18"/>
        </w:rPr>
        <w:t>作者：浏览次数：</w:t>
      </w:r>
      <w:r w:rsidRPr="00B95886">
        <w:rPr>
          <w:rFonts w:ascii="Arial" w:eastAsia="宋体" w:hAnsi="Arial" w:cs="Arial"/>
          <w:color w:val="787878"/>
          <w:kern w:val="0"/>
          <w:sz w:val="18"/>
          <w:szCs w:val="18"/>
        </w:rPr>
        <w:t>1794</w:t>
      </w:r>
    </w:p>
    <w:p w:rsidR="00B95886" w:rsidRPr="00B95886" w:rsidRDefault="00B95886" w:rsidP="00B95886">
      <w:pPr>
        <w:widowControl/>
        <w:shd w:val="clear" w:color="auto" w:fill="FFFFFF"/>
        <w:spacing w:after="150" w:line="263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根据《教育部办公厅关于做好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2019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年推荐优秀应届本科毕业生免试攻读研究生工作的通知》（教学厅〔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2018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〕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10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号）、《教育部关于印发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&lt;2019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年全国硕士研究生招生工作管理规定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&gt;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的通知》（教学〔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2018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〕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5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号）等文件要求，以及中国石油大学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(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华东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) 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教学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[2018]31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号《关于做好推荐优秀应届本科毕业生免试攻读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2019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年研究生工作的通知》等有关文件以及有关会议精神，结合化学工程学</w:t>
      </w:r>
      <w:proofErr w:type="gramStart"/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院具体</w:t>
      </w:r>
      <w:proofErr w:type="gramEnd"/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情况，制定推荐优秀应届本科毕业生免试攻读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2019</w:t>
      </w:r>
      <w:r w:rsidRPr="00B95886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年硕士研究生的实施办法如下：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left="1320" w:hanging="7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一、组织保障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化学工程学院成立新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一届推免硕士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研究生遴选工作小组，人员组成如下：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组长：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杨朝合蒋文春</w:t>
      </w:r>
      <w:proofErr w:type="gramEnd"/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成员：冯宝鹏刘欣梅刘东刘义唐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艳凌徐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光辉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二、</w:t>
      </w:r>
      <w:proofErr w:type="gramStart"/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推免条件</w:t>
      </w:r>
      <w:proofErr w:type="gramEnd"/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按照选拔条件和培养模式，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将推免生分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为普通类推免生和其他类推免生。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届普通全日制应届本科毕业生根据自身实际情况，可申请普通类推免生或其他类推免生，也可同时申报。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（一）基本条件（需同时满足）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  <w:t>1.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拥护中国共产党的领导，品德良好、遵纪守法，身心素质良好，无受处分或违法违纪记录。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  <w:t>2.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具有较强的创新意识和研究能力，具备研究生的培养潜质。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  <w:t>3. 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修完并通过前三年专业培养计划中规定的课程，且无不及格记录；</w:t>
      </w:r>
      <w:bookmarkStart w:id="0" w:name="_GoBack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对学业成绩特别优秀（学业成绩位列本专业前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5%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以内）或确有学科专长（学科基础课平均学分绩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≥85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分或专业核心课程平均分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≥90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分或有与本学科专业相关的科技创新成果（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需本专业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两位教授推荐并提交成果证明））</w:t>
      </w:r>
      <w:bookmarkEnd w:id="0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的学生，可适当放宽（允许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门不及格记录），但无欠学分情况。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  <w:t>4.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外语成绩要求。非外语专业英语语种学生，英语（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CET4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）成绩不低于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568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分或英语（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CET6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）成绩不低于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426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,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或雅思成绩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不低于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6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分，或托福成绩不低于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80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;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非外语专业其他语种学生，相应语种国家四级考试成绩不低于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80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分或六级成绩不低于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60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分（及格）。外语专业学生，其相应语种专业四级考试成绩不低于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70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  <w:t>5.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学业成绩（不含双学位、辅修课程）原则上列本专业前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30%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菁英班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学生其学业成绩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名次列本专业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40%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（二）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其他条件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1.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辅导员推免计划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：具有从事学生辅导员的素质和意愿，符合（一）基本条件中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1-4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各项要求，其学业成绩适当放宽。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2. 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在校期间参军入伍服兵役，参加志愿服务（“大学生志愿服务西部计划”、“三支一扶计划”、“农村义务教育阶段学校教师特设岗位计划”、“赴外汉语教师志愿者”等项目服务期满、考核合格），或有教育部认可的国际组织实习经历，且符合（一）基本条件中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1-4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各项要求，其学业成绩适当放宽至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50%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3.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创新突出类推免：创新成果突出，满足下列条件之一，且符合（一）基本条件中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1-2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各项要求，修完并通过前三年专业培养计划中规定的课程，且无欠学分情况。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）参加以下科技竞赛或学科竞赛并获奖：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3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a.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获得国家部委主办的“挑战杯”、“创青春”、“互联网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+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”科技竞赛省级一等奖及以上，集体项目个人须排名前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位；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3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b.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获得国际级学科竞赛二等奖及以上或国家级学科竞赛一等奖及以上（全国大学生英语竞赛国家级特等奖），集体项目个人须排名前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5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位；无等级分类的学科竞赛，由学校组织认定。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c.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参加全国大学生化工设计竞赛，集体项目获二等奖以上。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d.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全国大学生过程装备实践与创新竞赛，获集体特等奖。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e.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获得全国大学生</w:t>
      </w:r>
      <w:proofErr w:type="spellStart"/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Chem</w:t>
      </w:r>
      <w:proofErr w:type="spellEnd"/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-E-Car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竞赛前三名，或获得最佳设计创意奖、最佳动力奖、最佳安全奖等单项奖之一。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f.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参加全国化工安全设计大赛，集体项目获一等奖以上。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g.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参加全国大学生化工实验竞赛，集体项目二等奖以上。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）以中国石油大学（华东）为第一作者单位，学生为第一作者在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SCI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SSCI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A&amp;HCI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EI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（会议论文集除外）收录期刊或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CSSCI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收录期刊（扩展版及增刊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lastRenderedPageBreak/>
        <w:t>除外）发表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篇及以上与实践创新活动相关的论文；或以第一发明人获得与实践创新活动相关的国内外授权发明专利。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4.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贡献突出类推免：对社会、学校有突出贡献，或在重大活动中为学校争得荣誉的学生，符合（一）基本条件中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1-3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各项要求，其学业成绩放宽至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70%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。其中，高水平运动队学生代表学校或国家参加洲际比赛获前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名，或参加全国大学生比赛获个人项目第一名或作为主力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队员获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集体项目前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5. 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参加国内、国外校际交流项目的学生，交流期间的成绩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在推免工作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启动时达到学校认定要求的，可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申请推免研究生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。非个人原因未能取得培养计划要求学分的，由学生所在院部予以核实，认定其是否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满足推免条件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6.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教育部直属师范大学接收外校推免生等名额补偿计划，在满足基本条件中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1-5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各项要求的基础上，还须满足接收学校的专业要求。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7.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贡献突出类推免：对社会、学校有突出贡献，或在重大活动中为学校争得荣誉的学生，符合（一）基本条件中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1-3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各项要求，其学业成绩放宽至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70%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。其中，高水平运动队学生代表学校或国家参加洲际比赛获前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8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名，或参加全国大学生比赛获个人项目第一名或作为主力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队员获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集体项目前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三、</w:t>
      </w:r>
      <w:proofErr w:type="gramStart"/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推免选拔</w:t>
      </w:r>
      <w:proofErr w:type="gramEnd"/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办法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、各专业组学生的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推免结果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以总成绩排序决定。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总成绩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=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学业测评成绩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*60%+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面试成绩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*40%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B95886" w:rsidRPr="00B95886" w:rsidRDefault="00B95886" w:rsidP="00B95886">
      <w:pPr>
        <w:widowControl/>
        <w:shd w:val="clear" w:color="auto" w:fill="FFFFFF"/>
        <w:spacing w:after="150" w:line="525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、面试侧重对专业能力及逻辑分析、创新精神和外语听说能力等综合素质的深度考查。</w:t>
      </w:r>
    </w:p>
    <w:p w:rsidR="00B95886" w:rsidRPr="00B95886" w:rsidRDefault="00B95886" w:rsidP="00B95886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、思想品德考核由面试专家参考班主任、辅导员意见给出评价。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四、</w:t>
      </w:r>
      <w:proofErr w:type="gramStart"/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推免名额</w:t>
      </w:r>
      <w:proofErr w:type="gramEnd"/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分配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lastRenderedPageBreak/>
        <w:t>学校下达给我院推荐优秀应届本科毕业生面试攻读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年研究生的名额为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120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名，结合各专业应届本科生人数，综合考虑学院一流学科建设发展、特色专业建设以及专业结构优化布局等因素，确定各专业名额分配如下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:</w:t>
      </w:r>
    </w:p>
    <w:p w:rsidR="00B95886" w:rsidRPr="00B95886" w:rsidRDefault="00B95886" w:rsidP="00B95886">
      <w:pPr>
        <w:widowControl/>
        <w:shd w:val="clear" w:color="auto" w:fill="FFFFFF"/>
        <w:spacing w:after="150" w:line="263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95886">
        <w:rPr>
          <w:rFonts w:ascii="Arial" w:eastAsia="宋体" w:hAnsi="Arial" w:cs="Arial"/>
          <w:color w:val="333333"/>
          <w:kern w:val="0"/>
          <w:szCs w:val="21"/>
        </w:rPr>
        <w:t>  </w:t>
      </w:r>
    </w:p>
    <w:tbl>
      <w:tblPr>
        <w:tblW w:w="52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430"/>
      </w:tblGrid>
      <w:tr w:rsidR="00B95886" w:rsidRPr="00B95886" w:rsidTr="00B95886">
        <w:trPr>
          <w:trHeight w:val="465"/>
          <w:jc w:val="center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推免名额</w:t>
            </w:r>
            <w:proofErr w:type="gramEnd"/>
          </w:p>
        </w:tc>
      </w:tr>
      <w:tr w:rsidR="00B95886" w:rsidRPr="00B95886" w:rsidTr="00B95886">
        <w:trPr>
          <w:jc w:val="center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95886" w:rsidRPr="00B95886" w:rsidRDefault="00B95886" w:rsidP="00B9588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50</w:t>
            </w:r>
          </w:p>
        </w:tc>
      </w:tr>
      <w:tr w:rsidR="00B95886" w:rsidRPr="00B95886" w:rsidTr="00B95886">
        <w:trPr>
          <w:jc w:val="center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95886" w:rsidRPr="00B95886" w:rsidRDefault="00B95886" w:rsidP="00B9588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29</w:t>
            </w:r>
          </w:p>
        </w:tc>
      </w:tr>
      <w:tr w:rsidR="00B95886" w:rsidRPr="00B95886" w:rsidTr="00B95886">
        <w:trPr>
          <w:jc w:val="center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95886" w:rsidRPr="00B95886" w:rsidRDefault="00B95886" w:rsidP="00B9588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19</w:t>
            </w:r>
          </w:p>
        </w:tc>
      </w:tr>
      <w:tr w:rsidR="00B95886" w:rsidRPr="00B95886" w:rsidTr="00B95886">
        <w:trPr>
          <w:jc w:val="center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95886" w:rsidRPr="00B95886" w:rsidRDefault="00B95886" w:rsidP="00B9588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12</w:t>
            </w:r>
          </w:p>
        </w:tc>
      </w:tr>
      <w:tr w:rsidR="00B95886" w:rsidRPr="00B95886" w:rsidTr="00B95886">
        <w:trPr>
          <w:jc w:val="center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环保设备工程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95886" w:rsidRPr="00B95886" w:rsidRDefault="00B95886" w:rsidP="00B95886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10</w:t>
            </w:r>
          </w:p>
        </w:tc>
      </w:tr>
      <w:tr w:rsidR="00B95886" w:rsidRPr="00B95886" w:rsidTr="00B95886">
        <w:trPr>
          <w:trHeight w:val="330"/>
          <w:jc w:val="center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95886" w:rsidRPr="00B95886" w:rsidRDefault="00B95886" w:rsidP="00B95886">
            <w:pPr>
              <w:widowControl/>
              <w:spacing w:after="150" w:line="29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95886"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  <w:t>120</w:t>
            </w:r>
          </w:p>
        </w:tc>
      </w:tr>
    </w:tbl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6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五、工作日程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12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日，学院向学生公布制定的推免生遴选办法。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日，组织学生报名，于当日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20:00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前结束。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3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14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日审查材料并确定名单，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15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日公布于学院网页。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4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16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日组织面试。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5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</w:t>
      </w:r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18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</w:t>
      </w:r>
      <w:proofErr w:type="gramStart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公示推免结果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，并上报名单。</w:t>
      </w:r>
    </w:p>
    <w:p w:rsidR="00B95886" w:rsidRPr="00B95886" w:rsidRDefault="00B95886" w:rsidP="00B95886">
      <w:pPr>
        <w:widowControl/>
        <w:shd w:val="clear" w:color="auto" w:fill="FFFFFF"/>
        <w:spacing w:after="150" w:line="294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以上实施办法由化学工程学院</w:t>
      </w:r>
      <w:proofErr w:type="gramStart"/>
      <w:r w:rsidRPr="00B95886">
        <w:rPr>
          <w:rFonts w:ascii="Calibri" w:eastAsia="宋体" w:hAnsi="Calibri" w:cs="Calibri"/>
          <w:color w:val="333333"/>
          <w:kern w:val="0"/>
          <w:sz w:val="24"/>
          <w:szCs w:val="24"/>
        </w:rPr>
        <w:t>2019</w:t>
      </w:r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年推免研究生</w:t>
      </w:r>
      <w:proofErr w:type="gramEnd"/>
      <w:r w:rsidRPr="00B9588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遴选工作小组负责解释。</w:t>
      </w:r>
    </w:p>
    <w:p w:rsidR="00CD26AB" w:rsidRPr="00B95886" w:rsidRDefault="00CD26AB"/>
    <w:sectPr w:rsidR="00CD26AB" w:rsidRPr="00B9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86"/>
    <w:rsid w:val="00B95886"/>
    <w:rsid w:val="00C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58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588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B95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B95886"/>
  </w:style>
  <w:style w:type="character" w:customStyle="1" w:styleId="artipublisher">
    <w:name w:val="arti_publisher"/>
    <w:basedOn w:val="a0"/>
    <w:rsid w:val="00B95886"/>
  </w:style>
  <w:style w:type="character" w:customStyle="1" w:styleId="artiviews">
    <w:name w:val="arti_views"/>
    <w:basedOn w:val="a0"/>
    <w:rsid w:val="00B95886"/>
  </w:style>
  <w:style w:type="character" w:customStyle="1" w:styleId="wpvisitcount">
    <w:name w:val="wp_visitcount"/>
    <w:basedOn w:val="a0"/>
    <w:rsid w:val="00B95886"/>
  </w:style>
  <w:style w:type="paragraph" w:styleId="2">
    <w:name w:val="Body Text Indent 2"/>
    <w:basedOn w:val="a"/>
    <w:link w:val="2Char"/>
    <w:uiPriority w:val="99"/>
    <w:semiHidden/>
    <w:unhideWhenUsed/>
    <w:rsid w:val="00B95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B95886"/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958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58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588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B95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B95886"/>
  </w:style>
  <w:style w:type="character" w:customStyle="1" w:styleId="artipublisher">
    <w:name w:val="arti_publisher"/>
    <w:basedOn w:val="a0"/>
    <w:rsid w:val="00B95886"/>
  </w:style>
  <w:style w:type="character" w:customStyle="1" w:styleId="artiviews">
    <w:name w:val="arti_views"/>
    <w:basedOn w:val="a0"/>
    <w:rsid w:val="00B95886"/>
  </w:style>
  <w:style w:type="character" w:customStyle="1" w:styleId="wpvisitcount">
    <w:name w:val="wp_visitcount"/>
    <w:basedOn w:val="a0"/>
    <w:rsid w:val="00B95886"/>
  </w:style>
  <w:style w:type="paragraph" w:styleId="2">
    <w:name w:val="Body Text Indent 2"/>
    <w:basedOn w:val="a"/>
    <w:link w:val="2Char"/>
    <w:uiPriority w:val="99"/>
    <w:semiHidden/>
    <w:unhideWhenUsed/>
    <w:rsid w:val="00B95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B95886"/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9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0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2161</Characters>
  <Application>Microsoft Office Word</Application>
  <DocSecurity>0</DocSecurity>
  <Lines>18</Lines>
  <Paragraphs>5</Paragraphs>
  <ScaleCrop>false</ScaleCrop>
  <Company>UPC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黄善波</dc:creator>
  <cp:lastModifiedBy>黄善波</cp:lastModifiedBy>
  <cp:revision>1</cp:revision>
  <dcterms:created xsi:type="dcterms:W3CDTF">2019-07-30T08:09:00Z</dcterms:created>
  <dcterms:modified xsi:type="dcterms:W3CDTF">2019-07-30T08:10:00Z</dcterms:modified>
</cp:coreProperties>
</file>